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E7D1" w14:textId="77777777" w:rsidR="001522F7" w:rsidRDefault="001522F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71"/>
        <w:gridCol w:w="6521"/>
        <w:gridCol w:w="1224"/>
      </w:tblGrid>
      <w:tr w:rsidR="001522F7" w14:paraId="09796432" w14:textId="77777777">
        <w:trPr>
          <w:trHeight w:val="845"/>
        </w:trPr>
        <w:tc>
          <w:tcPr>
            <w:tcW w:w="1271" w:type="dxa"/>
            <w:vAlign w:val="center"/>
          </w:tcPr>
          <w:p w14:paraId="1C41F14E" w14:textId="77777777" w:rsidR="001522F7" w:rsidRDefault="00B83952">
            <w:pPr>
              <w:jc w:val="center"/>
            </w:pPr>
            <w:bookmarkStart w:id="0" w:name="_heading=h.gjdgxs" w:colFirst="0" w:colLast="0"/>
            <w:bookmarkEnd w:id="0"/>
            <w:r>
              <w:rPr>
                <w:noProof/>
              </w:rPr>
              <w:drawing>
                <wp:inline distT="0" distB="0" distL="0" distR="0" wp14:anchorId="5A82AF9B" wp14:editId="6297B768">
                  <wp:extent cx="290836" cy="358237"/>
                  <wp:effectExtent l="0" t="0" r="0" b="0"/>
                  <wp:docPr id="3" name="image1.png" descr="C:\Users\Pauline\Dropbox\Shared with Kevin\New Logos\Longwood Logo RGB.png"/>
                  <wp:cNvGraphicFramePr/>
                  <a:graphic xmlns:a="http://schemas.openxmlformats.org/drawingml/2006/main">
                    <a:graphicData uri="http://schemas.openxmlformats.org/drawingml/2006/picture">
                      <pic:pic xmlns:pic="http://schemas.openxmlformats.org/drawingml/2006/picture">
                        <pic:nvPicPr>
                          <pic:cNvPr id="0" name="image1.png" descr="C:\Users\Pauline\Dropbox\Shared with Kevin\New Logos\Longwood Logo RGB.png"/>
                          <pic:cNvPicPr preferRelativeResize="0"/>
                        </pic:nvPicPr>
                        <pic:blipFill>
                          <a:blip r:embed="rId8"/>
                          <a:srcRect/>
                          <a:stretch>
                            <a:fillRect/>
                          </a:stretch>
                        </pic:blipFill>
                        <pic:spPr>
                          <a:xfrm>
                            <a:off x="0" y="0"/>
                            <a:ext cx="290836" cy="358237"/>
                          </a:xfrm>
                          <a:prstGeom prst="rect">
                            <a:avLst/>
                          </a:prstGeom>
                          <a:ln/>
                        </pic:spPr>
                      </pic:pic>
                    </a:graphicData>
                  </a:graphic>
                </wp:inline>
              </w:drawing>
            </w:r>
          </w:p>
        </w:tc>
        <w:tc>
          <w:tcPr>
            <w:tcW w:w="6521" w:type="dxa"/>
            <w:vAlign w:val="center"/>
          </w:tcPr>
          <w:p w14:paraId="28D2EF8A" w14:textId="77777777" w:rsidR="001522F7" w:rsidRDefault="00B83952">
            <w:pPr>
              <w:jc w:val="center"/>
              <w:rPr>
                <w:sz w:val="44"/>
                <w:szCs w:val="44"/>
              </w:rPr>
            </w:pPr>
            <w:r>
              <w:rPr>
                <w:sz w:val="50"/>
                <w:szCs w:val="50"/>
              </w:rPr>
              <w:t>Longwood Primary School</w:t>
            </w:r>
          </w:p>
        </w:tc>
        <w:tc>
          <w:tcPr>
            <w:tcW w:w="1224" w:type="dxa"/>
            <w:vAlign w:val="center"/>
          </w:tcPr>
          <w:p w14:paraId="3F3C5AEF" w14:textId="77777777" w:rsidR="001522F7" w:rsidRDefault="00B83952">
            <w:pPr>
              <w:jc w:val="center"/>
            </w:pPr>
            <w:r>
              <w:rPr>
                <w:noProof/>
              </w:rPr>
              <w:drawing>
                <wp:inline distT="0" distB="0" distL="0" distR="0" wp14:anchorId="7163F269" wp14:editId="225799FC">
                  <wp:extent cx="372486" cy="336516"/>
                  <wp:effectExtent l="0" t="0" r="0" b="0"/>
                  <wp:docPr id="4" name="image2.jpg" descr="C:\Users\Pauline\Dropbox\Shared with Kevin\New Logos\Logo - TVCLT.jpg"/>
                  <wp:cNvGraphicFramePr/>
                  <a:graphic xmlns:a="http://schemas.openxmlformats.org/drawingml/2006/main">
                    <a:graphicData uri="http://schemas.openxmlformats.org/drawingml/2006/picture">
                      <pic:pic xmlns:pic="http://schemas.openxmlformats.org/drawingml/2006/picture">
                        <pic:nvPicPr>
                          <pic:cNvPr id="0" name="image2.jpg" descr="C:\Users\Pauline\Dropbox\Shared with Kevin\New Logos\Logo - TVCLT.jpg"/>
                          <pic:cNvPicPr preferRelativeResize="0"/>
                        </pic:nvPicPr>
                        <pic:blipFill>
                          <a:blip r:embed="rId9"/>
                          <a:srcRect/>
                          <a:stretch>
                            <a:fillRect/>
                          </a:stretch>
                        </pic:blipFill>
                        <pic:spPr>
                          <a:xfrm>
                            <a:off x="0" y="0"/>
                            <a:ext cx="372486" cy="336516"/>
                          </a:xfrm>
                          <a:prstGeom prst="rect">
                            <a:avLst/>
                          </a:prstGeom>
                          <a:ln/>
                        </pic:spPr>
                      </pic:pic>
                    </a:graphicData>
                  </a:graphic>
                </wp:inline>
              </w:drawing>
            </w:r>
          </w:p>
        </w:tc>
      </w:tr>
    </w:tbl>
    <w:p w14:paraId="11059A66" w14:textId="77777777" w:rsidR="001522F7" w:rsidRDefault="001522F7"/>
    <w:p w14:paraId="1F00F26E" w14:textId="77777777" w:rsidR="001522F7" w:rsidRDefault="00B83952">
      <w:pPr>
        <w:tabs>
          <w:tab w:val="left" w:pos="915"/>
        </w:tabs>
      </w:pPr>
      <w:r>
        <w:tab/>
      </w:r>
    </w:p>
    <w:tbl>
      <w:tblPr>
        <w:tblStyle w:val="a0"/>
        <w:tblW w:w="9356" w:type="dxa"/>
        <w:tblInd w:w="-115" w:type="dxa"/>
        <w:tblLayout w:type="fixed"/>
        <w:tblLook w:val="0000" w:firstRow="0" w:lastRow="0" w:firstColumn="0" w:lastColumn="0" w:noHBand="0" w:noVBand="0"/>
      </w:tblPr>
      <w:tblGrid>
        <w:gridCol w:w="9356"/>
      </w:tblGrid>
      <w:tr w:rsidR="001522F7" w14:paraId="636FBFF8" w14:textId="77777777">
        <w:tc>
          <w:tcPr>
            <w:tcW w:w="9356" w:type="dxa"/>
            <w:shd w:val="clear" w:color="auto" w:fill="auto"/>
          </w:tcPr>
          <w:p w14:paraId="0261225B" w14:textId="77777777" w:rsidR="001522F7" w:rsidRDefault="00B83952">
            <w:pPr>
              <w:jc w:val="both"/>
              <w:rPr>
                <w:b/>
                <w:sz w:val="36"/>
                <w:szCs w:val="36"/>
              </w:rPr>
            </w:pPr>
            <w:r>
              <w:rPr>
                <w:b/>
                <w:sz w:val="36"/>
                <w:szCs w:val="36"/>
              </w:rPr>
              <w:t>Design &amp; Technology Policy</w:t>
            </w:r>
            <w:r>
              <w:rPr>
                <w:b/>
                <w:sz w:val="36"/>
                <w:szCs w:val="36"/>
              </w:rPr>
              <w:tab/>
            </w:r>
          </w:p>
        </w:tc>
      </w:tr>
      <w:tr w:rsidR="001522F7" w14:paraId="05859DBF" w14:textId="77777777">
        <w:tc>
          <w:tcPr>
            <w:tcW w:w="9356" w:type="dxa"/>
            <w:shd w:val="clear" w:color="auto" w:fill="auto"/>
          </w:tcPr>
          <w:p w14:paraId="51246ECD" w14:textId="77777777" w:rsidR="001522F7" w:rsidRDefault="00B83952">
            <w:pPr>
              <w:pBdr>
                <w:top w:val="nil"/>
                <w:left w:val="nil"/>
                <w:bottom w:val="nil"/>
                <w:right w:val="nil"/>
                <w:between w:val="nil"/>
              </w:pBdr>
              <w:spacing w:after="0" w:line="240" w:lineRule="auto"/>
              <w:jc w:val="both"/>
              <w:rPr>
                <w:color w:val="000000"/>
                <w:sz w:val="20"/>
                <w:szCs w:val="20"/>
              </w:rPr>
            </w:pPr>
            <w:r>
              <w:rPr>
                <w:b/>
                <w:color w:val="000000"/>
              </w:rPr>
              <w:t xml:space="preserve">Aims </w:t>
            </w:r>
          </w:p>
          <w:p w14:paraId="7DBB99EB" w14:textId="77777777" w:rsidR="001522F7" w:rsidRDefault="00B8395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to develop imaginative and critical thinking in children and to enable them to talk about what they like and dislike when designing and making;</w:t>
            </w:r>
          </w:p>
          <w:p w14:paraId="210CB858" w14:textId="77777777" w:rsidR="001522F7" w:rsidRDefault="00B8395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to enable children to talk about how things work, and to draw and model their ideas;</w:t>
            </w:r>
          </w:p>
          <w:p w14:paraId="0008D812" w14:textId="77777777" w:rsidR="001522F7" w:rsidRDefault="00B8395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to encourage children to select appropriate tools and techniques for making a product, whilst following safe procedures;</w:t>
            </w:r>
          </w:p>
          <w:p w14:paraId="6E55E4AE" w14:textId="77777777" w:rsidR="001522F7" w:rsidRDefault="00B8395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to develop an understanding of technological processes, products, and their manufacture, and their contribution to our society;</w:t>
            </w:r>
          </w:p>
          <w:p w14:paraId="7032E59D" w14:textId="77777777" w:rsidR="001522F7" w:rsidRDefault="00B8395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to enhance enjoyment, satisfaction and purpose in designing and making.</w:t>
            </w:r>
          </w:p>
          <w:p w14:paraId="6B9FAFFE" w14:textId="77777777" w:rsidR="001522F7" w:rsidRDefault="00B83952">
            <w:pPr>
              <w:numPr>
                <w:ilvl w:val="0"/>
                <w:numId w:val="2"/>
              </w:numPr>
              <w:pBdr>
                <w:top w:val="nil"/>
                <w:left w:val="nil"/>
                <w:bottom w:val="nil"/>
                <w:right w:val="nil"/>
                <w:between w:val="nil"/>
              </w:pBdr>
              <w:spacing w:after="0" w:line="240" w:lineRule="auto"/>
              <w:jc w:val="both"/>
              <w:rPr>
                <w:color w:val="000000"/>
                <w:sz w:val="20"/>
                <w:szCs w:val="20"/>
              </w:rPr>
            </w:pPr>
            <w:r>
              <w:rPr>
                <w:color w:val="000000"/>
                <w:sz w:val="20"/>
                <w:szCs w:val="20"/>
              </w:rPr>
              <w:t xml:space="preserve">To </w:t>
            </w:r>
            <w:r>
              <w:rPr>
                <w:sz w:val="20"/>
                <w:szCs w:val="20"/>
              </w:rPr>
              <w:t>develop the ability</w:t>
            </w:r>
            <w:r>
              <w:rPr>
                <w:color w:val="000000"/>
                <w:sz w:val="20"/>
                <w:szCs w:val="20"/>
              </w:rPr>
              <w:t xml:space="preserve"> to work collaboratively.</w:t>
            </w:r>
          </w:p>
          <w:p w14:paraId="682F9C21" w14:textId="77777777" w:rsidR="001522F7" w:rsidRDefault="001522F7">
            <w:pPr>
              <w:jc w:val="both"/>
              <w:rPr>
                <w:b/>
                <w:sz w:val="20"/>
                <w:szCs w:val="20"/>
              </w:rPr>
            </w:pPr>
          </w:p>
        </w:tc>
      </w:tr>
      <w:tr w:rsidR="001522F7" w14:paraId="22B1DA0D" w14:textId="77777777">
        <w:tc>
          <w:tcPr>
            <w:tcW w:w="9356" w:type="dxa"/>
            <w:shd w:val="clear" w:color="auto" w:fill="auto"/>
          </w:tcPr>
          <w:p w14:paraId="7201503F" w14:textId="77777777" w:rsidR="001522F7" w:rsidRDefault="00B83952">
            <w:pPr>
              <w:jc w:val="both"/>
              <w:rPr>
                <w:b/>
              </w:rPr>
            </w:pPr>
            <w:r>
              <w:rPr>
                <w:b/>
              </w:rPr>
              <w:t>Organisation</w:t>
            </w:r>
          </w:p>
          <w:p w14:paraId="37707301" w14:textId="77777777" w:rsidR="001522F7" w:rsidRDefault="00B83952">
            <w:pPr>
              <w:jc w:val="both"/>
              <w:rPr>
                <w:sz w:val="20"/>
                <w:szCs w:val="20"/>
              </w:rPr>
            </w:pPr>
            <w:r>
              <w:rPr>
                <w:sz w:val="20"/>
                <w:szCs w:val="20"/>
              </w:rPr>
              <w:t>The Governing body will link with the curriculum subject coordinator and carry out duties reflecting those of the coordinator. In the Foundation Stage, DT is found within Creative Development and Knowledge and Understanding of the World and is taught in equal proportions to other subjects. In Key Stage 1 and 2 we teach the knowledge, skills and understanding set out in the National Curriculum. Teachers will seek to take advantage of opportunities to make cross curricular links. They will plan for pupils to practise and apply the skills, knowledge and understanding acquired through DT lessons to other areas of the curriculum. The opportunities to use ICT effectively to support teaching and learning in DT will be planned for and used as appropriate.</w:t>
            </w:r>
          </w:p>
          <w:p w14:paraId="6FF8B96A" w14:textId="77777777" w:rsidR="001522F7" w:rsidRDefault="001522F7">
            <w:pPr>
              <w:jc w:val="both"/>
              <w:rPr>
                <w:b/>
              </w:rPr>
            </w:pPr>
          </w:p>
          <w:p w14:paraId="33EDFF5C" w14:textId="77777777" w:rsidR="001522F7" w:rsidRDefault="00B83952">
            <w:pPr>
              <w:jc w:val="both"/>
              <w:rPr>
                <w:b/>
              </w:rPr>
            </w:pPr>
            <w:r>
              <w:rPr>
                <w:b/>
              </w:rPr>
              <w:t>Assessment and Target Setting</w:t>
            </w:r>
          </w:p>
          <w:p w14:paraId="4C6A3CF8" w14:textId="77777777" w:rsidR="001522F7" w:rsidRDefault="00B83952">
            <w:pPr>
              <w:jc w:val="both"/>
            </w:pPr>
            <w:r>
              <w:rPr>
                <w:sz w:val="20"/>
                <w:szCs w:val="20"/>
              </w:rPr>
              <w:t>Work will be assessed in line with the assessment policy and the National Curriculum and skills ladders. Informal judgements will be made during lessons and marking will reflect learning and next steps. Short term planning will be annotated to reflect teaching and learning in a lesson and will be used to inform future plans. It is the role of the coordinator to ensure the statutory requirements of the National Curriculum are met.</w:t>
            </w:r>
          </w:p>
        </w:tc>
      </w:tr>
      <w:tr w:rsidR="001522F7" w14:paraId="41544EA4" w14:textId="77777777">
        <w:tc>
          <w:tcPr>
            <w:tcW w:w="9356" w:type="dxa"/>
            <w:shd w:val="clear" w:color="auto" w:fill="auto"/>
          </w:tcPr>
          <w:p w14:paraId="1C06E40A" w14:textId="77777777" w:rsidR="001522F7" w:rsidRDefault="001522F7">
            <w:pPr>
              <w:jc w:val="both"/>
              <w:rPr>
                <w:b/>
              </w:rPr>
            </w:pPr>
          </w:p>
          <w:p w14:paraId="4F6719C4" w14:textId="77777777" w:rsidR="001522F7" w:rsidRDefault="00B83952">
            <w:pPr>
              <w:jc w:val="both"/>
              <w:rPr>
                <w:b/>
              </w:rPr>
            </w:pPr>
            <w:r>
              <w:rPr>
                <w:b/>
              </w:rPr>
              <w:t>Differentiation</w:t>
            </w:r>
          </w:p>
        </w:tc>
      </w:tr>
      <w:tr w:rsidR="001522F7" w14:paraId="6B3EDB6F" w14:textId="77777777">
        <w:tc>
          <w:tcPr>
            <w:tcW w:w="9356" w:type="dxa"/>
            <w:shd w:val="clear" w:color="auto" w:fill="auto"/>
          </w:tcPr>
          <w:p w14:paraId="5A59CCA2" w14:textId="77777777" w:rsidR="001522F7" w:rsidRDefault="00B83952">
            <w:pPr>
              <w:jc w:val="both"/>
              <w:rPr>
                <w:sz w:val="20"/>
                <w:szCs w:val="20"/>
              </w:rPr>
            </w:pPr>
            <w:r>
              <w:rPr>
                <w:sz w:val="20"/>
                <w:szCs w:val="20"/>
              </w:rPr>
              <w:t>We aim to provide for all pupils so that they achieve as highly as they can in DT according to their individual abilities. We will identify which groups or individual pupils are underachieving and take steps to improve their attainment. Gifted pupils will be identified and suitable learning challenges provided.</w:t>
            </w:r>
          </w:p>
          <w:p w14:paraId="420C41A3" w14:textId="77777777" w:rsidR="001522F7" w:rsidRDefault="00B83952">
            <w:pPr>
              <w:jc w:val="both"/>
              <w:rPr>
                <w:sz w:val="20"/>
                <w:szCs w:val="20"/>
              </w:rPr>
            </w:pPr>
            <w:r>
              <w:rPr>
                <w:sz w:val="20"/>
                <w:szCs w:val="20"/>
              </w:rPr>
              <w:t>All pupils are provided with equal access to the DT curriculum. We aim to provide suitable learning opportunities regardless of gender, ethnicity or home background.</w:t>
            </w:r>
          </w:p>
        </w:tc>
      </w:tr>
      <w:tr w:rsidR="001522F7" w14:paraId="34D7786D" w14:textId="77777777">
        <w:tc>
          <w:tcPr>
            <w:tcW w:w="9356" w:type="dxa"/>
            <w:shd w:val="clear" w:color="auto" w:fill="auto"/>
          </w:tcPr>
          <w:p w14:paraId="65752DA1" w14:textId="77777777" w:rsidR="001522F7" w:rsidRDefault="001522F7">
            <w:pPr>
              <w:jc w:val="both"/>
              <w:rPr>
                <w:b/>
              </w:rPr>
            </w:pPr>
          </w:p>
          <w:p w14:paraId="5B646083" w14:textId="77777777" w:rsidR="001522F7" w:rsidRDefault="00B83952">
            <w:pPr>
              <w:jc w:val="both"/>
              <w:rPr>
                <w:b/>
              </w:rPr>
            </w:pPr>
            <w:r>
              <w:rPr>
                <w:b/>
              </w:rPr>
              <w:t>Monitoring and Review</w:t>
            </w:r>
          </w:p>
        </w:tc>
      </w:tr>
      <w:tr w:rsidR="001522F7" w14:paraId="22B68213" w14:textId="77777777">
        <w:tc>
          <w:tcPr>
            <w:tcW w:w="9356" w:type="dxa"/>
            <w:shd w:val="clear" w:color="auto" w:fill="auto"/>
          </w:tcPr>
          <w:p w14:paraId="4933CA95" w14:textId="77777777" w:rsidR="001522F7" w:rsidRDefault="00B83952">
            <w:pPr>
              <w:jc w:val="both"/>
              <w:rPr>
                <w:sz w:val="20"/>
                <w:szCs w:val="20"/>
              </w:rPr>
            </w:pPr>
            <w:r>
              <w:rPr>
                <w:sz w:val="20"/>
                <w:szCs w:val="20"/>
              </w:rPr>
              <w:t xml:space="preserve">The subject leader is responsible for improving the standards of teaching and learning in DT through monitoring and </w:t>
            </w:r>
            <w:proofErr w:type="gramStart"/>
            <w:r>
              <w:rPr>
                <w:sz w:val="20"/>
                <w:szCs w:val="20"/>
              </w:rPr>
              <w:t>evaluating :</w:t>
            </w:r>
            <w:proofErr w:type="gramEnd"/>
          </w:p>
          <w:p w14:paraId="62EF9FED" w14:textId="77777777" w:rsidR="001522F7" w:rsidRDefault="00B83952">
            <w:pPr>
              <w:numPr>
                <w:ilvl w:val="0"/>
                <w:numId w:val="1"/>
              </w:numPr>
              <w:spacing w:after="0" w:line="240" w:lineRule="auto"/>
              <w:jc w:val="both"/>
              <w:rPr>
                <w:sz w:val="20"/>
                <w:szCs w:val="20"/>
              </w:rPr>
            </w:pPr>
            <w:r>
              <w:rPr>
                <w:sz w:val="20"/>
                <w:szCs w:val="20"/>
              </w:rPr>
              <w:t>Quality of the learning environment</w:t>
            </w:r>
          </w:p>
          <w:p w14:paraId="1DD73339" w14:textId="77777777" w:rsidR="001522F7" w:rsidRDefault="00B83952">
            <w:pPr>
              <w:numPr>
                <w:ilvl w:val="0"/>
                <w:numId w:val="1"/>
              </w:numPr>
              <w:spacing w:after="0" w:line="240" w:lineRule="auto"/>
              <w:jc w:val="both"/>
              <w:rPr>
                <w:sz w:val="20"/>
                <w:szCs w:val="20"/>
              </w:rPr>
            </w:pPr>
            <w:r>
              <w:rPr>
                <w:sz w:val="20"/>
                <w:szCs w:val="20"/>
              </w:rPr>
              <w:lastRenderedPageBreak/>
              <w:t>Deployment of support staff</w:t>
            </w:r>
          </w:p>
          <w:p w14:paraId="63D4C94D" w14:textId="77777777" w:rsidR="001522F7" w:rsidRDefault="00B83952">
            <w:pPr>
              <w:numPr>
                <w:ilvl w:val="0"/>
                <w:numId w:val="1"/>
              </w:numPr>
              <w:spacing w:after="0" w:line="240" w:lineRule="auto"/>
              <w:jc w:val="both"/>
              <w:rPr>
                <w:sz w:val="20"/>
                <w:szCs w:val="20"/>
              </w:rPr>
            </w:pPr>
            <w:r>
              <w:rPr>
                <w:sz w:val="20"/>
                <w:szCs w:val="20"/>
              </w:rPr>
              <w:t>Taking the lead in policy development</w:t>
            </w:r>
          </w:p>
          <w:p w14:paraId="753B86A1" w14:textId="77777777" w:rsidR="001522F7" w:rsidRDefault="00B83952">
            <w:pPr>
              <w:numPr>
                <w:ilvl w:val="0"/>
                <w:numId w:val="1"/>
              </w:numPr>
              <w:spacing w:after="0" w:line="240" w:lineRule="auto"/>
              <w:jc w:val="both"/>
              <w:rPr>
                <w:sz w:val="20"/>
                <w:szCs w:val="20"/>
              </w:rPr>
            </w:pPr>
            <w:r>
              <w:rPr>
                <w:sz w:val="20"/>
                <w:szCs w:val="20"/>
              </w:rPr>
              <w:t>Auditing and supporting colleagues in CPD</w:t>
            </w:r>
          </w:p>
          <w:p w14:paraId="07A8D1C4" w14:textId="77777777" w:rsidR="001522F7" w:rsidRDefault="00B83952">
            <w:pPr>
              <w:numPr>
                <w:ilvl w:val="0"/>
                <w:numId w:val="1"/>
              </w:numPr>
              <w:spacing w:after="0" w:line="240" w:lineRule="auto"/>
              <w:jc w:val="both"/>
              <w:rPr>
                <w:sz w:val="20"/>
                <w:szCs w:val="20"/>
              </w:rPr>
            </w:pPr>
            <w:r>
              <w:rPr>
                <w:sz w:val="20"/>
                <w:szCs w:val="20"/>
              </w:rPr>
              <w:t>Purchasing and organising resources</w:t>
            </w:r>
          </w:p>
          <w:p w14:paraId="728408AB" w14:textId="77777777" w:rsidR="001522F7" w:rsidRDefault="00B83952">
            <w:pPr>
              <w:numPr>
                <w:ilvl w:val="0"/>
                <w:numId w:val="1"/>
              </w:numPr>
              <w:spacing w:after="0" w:line="240" w:lineRule="auto"/>
              <w:jc w:val="both"/>
              <w:rPr>
                <w:sz w:val="20"/>
                <w:szCs w:val="20"/>
              </w:rPr>
            </w:pPr>
            <w:r>
              <w:rPr>
                <w:sz w:val="20"/>
                <w:szCs w:val="20"/>
              </w:rPr>
              <w:t>Awareness of current developments/up to date knowledge</w:t>
            </w:r>
          </w:p>
          <w:p w14:paraId="4E4D785D" w14:textId="77777777" w:rsidR="001522F7" w:rsidRDefault="001522F7">
            <w:pPr>
              <w:jc w:val="both"/>
              <w:rPr>
                <w:sz w:val="20"/>
                <w:szCs w:val="20"/>
              </w:rPr>
            </w:pPr>
          </w:p>
          <w:p w14:paraId="0D0F6586" w14:textId="77777777" w:rsidR="001522F7" w:rsidRDefault="001522F7">
            <w:pPr>
              <w:jc w:val="both"/>
              <w:rPr>
                <w:sz w:val="20"/>
                <w:szCs w:val="20"/>
              </w:rPr>
            </w:pPr>
          </w:p>
        </w:tc>
      </w:tr>
    </w:tbl>
    <w:p w14:paraId="4EA8D5D0" w14:textId="77777777" w:rsidR="001522F7" w:rsidRDefault="00B83952">
      <w:pPr>
        <w:jc w:val="both"/>
        <w:rPr>
          <w:b/>
        </w:rPr>
      </w:pPr>
      <w:r>
        <w:rPr>
          <w:b/>
        </w:rPr>
        <w:lastRenderedPageBreak/>
        <w:t>Conclusion</w:t>
      </w:r>
    </w:p>
    <w:p w14:paraId="3E1F6E45" w14:textId="77777777" w:rsidR="001522F7" w:rsidRDefault="00B83952">
      <w:pPr>
        <w:jc w:val="both"/>
        <w:rPr>
          <w:sz w:val="20"/>
          <w:szCs w:val="20"/>
        </w:rPr>
      </w:pPr>
      <w:r>
        <w:rPr>
          <w:sz w:val="20"/>
          <w:szCs w:val="20"/>
        </w:rPr>
        <w:t>This policy is in line with other school policies and should be read alongside other relevant policies.</w:t>
      </w:r>
    </w:p>
    <w:p w14:paraId="56D62182" w14:textId="77777777" w:rsidR="001522F7" w:rsidRDefault="001522F7">
      <w:pPr>
        <w:jc w:val="both"/>
        <w:rPr>
          <w:sz w:val="20"/>
          <w:szCs w:val="20"/>
        </w:rPr>
      </w:pPr>
    </w:p>
    <w:p w14:paraId="6FD06D43" w14:textId="77777777" w:rsidR="001522F7" w:rsidRDefault="001522F7">
      <w:pPr>
        <w:jc w:val="both"/>
        <w:rPr>
          <w:sz w:val="20"/>
          <w:szCs w:val="20"/>
        </w:rPr>
      </w:pPr>
    </w:p>
    <w:p w14:paraId="29FC98E7" w14:textId="77777777" w:rsidR="001522F7" w:rsidRDefault="001522F7">
      <w:pPr>
        <w:tabs>
          <w:tab w:val="left" w:pos="915"/>
        </w:tabs>
      </w:pPr>
    </w:p>
    <w:sectPr w:rsidR="001522F7">
      <w:footerReference w:type="default" r:id="rId10"/>
      <w:pgSz w:w="11906" w:h="16838"/>
      <w:pgMar w:top="709" w:right="1440" w:bottom="1440" w:left="1440" w:header="708"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E094" w14:textId="77777777" w:rsidR="00A94B84" w:rsidRDefault="00B83952">
      <w:pPr>
        <w:spacing w:after="0" w:line="240" w:lineRule="auto"/>
      </w:pPr>
      <w:r>
        <w:separator/>
      </w:r>
    </w:p>
  </w:endnote>
  <w:endnote w:type="continuationSeparator" w:id="0">
    <w:p w14:paraId="3A083593" w14:textId="77777777" w:rsidR="00A94B84" w:rsidRDefault="00B8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B77D" w14:textId="77777777" w:rsidR="001522F7" w:rsidRDefault="00B83952">
    <w:pPr>
      <w:pBdr>
        <w:top w:val="nil"/>
        <w:left w:val="nil"/>
        <w:bottom w:val="nil"/>
        <w:right w:val="nil"/>
        <w:between w:val="nil"/>
      </w:pBdr>
      <w:tabs>
        <w:tab w:val="center" w:pos="4513"/>
        <w:tab w:val="right" w:pos="9026"/>
      </w:tabs>
      <w:spacing w:after="0" w:line="240" w:lineRule="auto"/>
      <w:jc w:val="center"/>
      <w:rPr>
        <w:rFonts w:ascii="Dancing Script" w:eastAsia="Dancing Script" w:hAnsi="Dancing Script" w:cs="Dancing Script"/>
        <w:i/>
        <w:color w:val="000000"/>
        <w:sz w:val="18"/>
        <w:szCs w:val="18"/>
      </w:rPr>
    </w:pPr>
    <w:r>
      <w:rPr>
        <w:rFonts w:ascii="Dancing Script" w:eastAsia="Dancing Script" w:hAnsi="Dancing Script" w:cs="Dancing Script"/>
        <w:i/>
        <w:color w:val="000000"/>
        <w:sz w:val="18"/>
        <w:szCs w:val="18"/>
      </w:rPr>
      <w:t>Nurture today, flourish tomorrow</w:t>
    </w:r>
  </w:p>
  <w:p w14:paraId="139512A6" w14:textId="77777777" w:rsidR="001522F7" w:rsidRDefault="001522F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2B7F" w14:textId="77777777" w:rsidR="00A94B84" w:rsidRDefault="00B83952">
      <w:pPr>
        <w:spacing w:after="0" w:line="240" w:lineRule="auto"/>
      </w:pPr>
      <w:r>
        <w:separator/>
      </w:r>
    </w:p>
  </w:footnote>
  <w:footnote w:type="continuationSeparator" w:id="0">
    <w:p w14:paraId="7F9125A9" w14:textId="77777777" w:rsidR="00A94B84" w:rsidRDefault="00B83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05856"/>
    <w:multiLevelType w:val="multilevel"/>
    <w:tmpl w:val="62060EA0"/>
    <w:lvl w:ilvl="0">
      <w:start w:val="1"/>
      <w:numFmt w:val="bullet"/>
      <w:pStyle w:val="aLCPbulletlist"/>
      <w:lvlText w:val="●"/>
      <w:lvlJc w:val="left"/>
      <w:pPr>
        <w:ind w:left="10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1163B00"/>
    <w:multiLevelType w:val="multilevel"/>
    <w:tmpl w:val="61D4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F7"/>
    <w:rsid w:val="001522F7"/>
    <w:rsid w:val="00A94B84"/>
    <w:rsid w:val="00B83952"/>
    <w:rsid w:val="00F9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3EC2"/>
  <w15:docId w15:val="{A0ECC5A2-9C6D-4BBF-AFC6-1DA226A1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customStyle="1" w:styleId="aLCPBodytext">
    <w:name w:val="a LCP Body text"/>
    <w:autoRedefine/>
    <w:rsid w:val="00C008FA"/>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C008FA"/>
    <w:pPr>
      <w:numPr>
        <w:numId w:val="2"/>
      </w:numPr>
    </w:pPr>
  </w:style>
  <w:style w:type="paragraph" w:styleId="BalloonText">
    <w:name w:val="Balloon Text"/>
    <w:basedOn w:val="Normal"/>
    <w:link w:val="BalloonTextChar"/>
    <w:uiPriority w:val="99"/>
    <w:semiHidden/>
    <w:unhideWhenUsed/>
    <w:rsid w:val="00C32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1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R1zarGjd6MddY27Gr3hPmCWlw==">CgMxLjAyCGguZ2pkZ3hzOAByITFNLWJGRUJqN0xZVmx6LWt2T3Q2akFrVi1keVdUQlJMNQ==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 Matthews</cp:lastModifiedBy>
  <cp:revision>2</cp:revision>
  <dcterms:created xsi:type="dcterms:W3CDTF">2024-04-29T08:04:00Z</dcterms:created>
  <dcterms:modified xsi:type="dcterms:W3CDTF">2024-04-29T08:04:00Z</dcterms:modified>
</cp:coreProperties>
</file>